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bookmarkStart w:id="0" w:name="OLE_LINK4"/>
      <w:r>
        <w:rPr>
          <w:rFonts w:hint="eastAsia"/>
          <w:lang w:val="en-US" w:eastAsia="zh-CN"/>
        </w:rPr>
        <w:t>饼图、花瓣图、upset图……泛基因组可视化方法这么多！</w:t>
      </w:r>
    </w:p>
    <w:bookmarkEnd w:id="0"/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泛基因组可分为核心基因、附属基因、特有基因，分别指在同一物种的所有个体中出现、多个非全部个体中出现、仅一个个体中出现的基因。Orthofinder常用于做泛基因组分析，其结果内容丰富，可是如何更好地可视化，清晰看出核心基因等的分布情况呢？今天，小花来教大家使用花瓣图、饼图、upset图来对Orthofinder结果进行可视化吧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首先来大概熟悉下Orthofinder的结果吧。结果包括12个文件夹，我们画图主要用到的是Orthogroups下的两个Orthogroups.GeneCount.tsv，Orthogroups_UnassignedGenes.tsv文件。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4724400" cy="3520440"/>
            <wp:effectExtent l="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4655820" cy="1348740"/>
            <wp:effectExtent l="0" t="0" r="7620" b="762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58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rFonts w:hint="eastAsia" w:eastAsia="宋体"/>
          <w:lang w:val="en-US" w:eastAsia="zh-CN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数据准备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GeneCount文件包含了所有同源基因组数目不为1的所有基因组，在各个样本中的数目；UnassignedGenes文件则包含了仅包含一个基因的同源基因组的样本来源信息。首先，我们要先将两个数据合并，结果文件是一个包含所有基因组的表格。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library(tidyverse)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 &lt;- read.csv('data/Orthogroups.GeneCount.tsv', row.names = 1)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df_uniq &lt;- read.csv('data/Orthogroups_UnassignedGenes.tsv', row.names = 1)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 &lt;- df[,1:(ncol(df)-1)]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df_uniq[df_uniq != ''] &lt;- 1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df_uniq[df_uniq == ''] &lt;- 0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rPr>
          <w:rStyle w:val="8"/>
          <w:rFonts w:hint="default"/>
          <w:lang w:val="en-US" w:eastAsia="zh-CN"/>
        </w:rPr>
        <w:t>df &lt;- rbind(df, df_uniq)</w:t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  <w:r>
        <w:drawing>
          <wp:inline distT="0" distB="0" distL="114300" distR="114300">
            <wp:extent cx="5267960" cy="1986280"/>
            <wp:effectExtent l="0" t="0" r="5080" b="1016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Style w:val="8"/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核心基因和特有基因统计</w:t>
      </w:r>
    </w:p>
    <w:p>
      <w:pPr>
        <w:numPr>
          <w:ilvl w:val="0"/>
          <w:numId w:val="0"/>
        </w:numPr>
        <w:ind w:leftChars="0" w:firstLine="420" w:firstLineChars="0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核心基因的筛选思路为：使用apply函数按行分析，若一行中所有值都不为0，即表示该基因组在全部样本中出现，对应的行名为核心基因。</w:t>
      </w:r>
    </w:p>
    <w:p>
      <w:pPr>
        <w:numPr>
          <w:ilvl w:val="0"/>
          <w:numId w:val="0"/>
        </w:numPr>
        <w:ind w:leftChars="0" w:firstLine="420" w:firstLineChars="0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特有基因的筛选思路为：使用apply函数按行分析，若一行中仅有1个值不为0，则为特有基因，并提取不为0列的列名为拥有该基因的个体。</w:t>
      </w:r>
    </w:p>
    <w:p>
      <w:pPr>
        <w:numPr>
          <w:ilvl w:val="0"/>
          <w:numId w:val="0"/>
        </w:numPr>
        <w:ind w:leftChars="0" w:firstLine="420" w:firstLineChars="0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附属基因：除核心基因、特有基因外者，为特有基因。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df_summary &lt;- data.frame(gene=rownames(df))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df_summary$type &lt;- apply(df, 1, function(x) if (length(x[x!=0]) == 1) colnames(df)[which(x != 0)] else NA)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df_summary$type[apply(df, 1, function(x) all(x != 0))] &lt;- 'core'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df_summary[is.na(df_summary)] &lt;- 'accessory'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st_u &lt;- data.frame(t(table(df_summary$type))) %&gt;% rename(strain=Var2) %&gt;%select(strain, Freq) %&gt;%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merge(., data.frame(strain = colnames(df)), all.y=T)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st_u[is.na(st_u)] &lt;- 0</w:t>
      </w: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我们一起来看下整理好的数据结构，df_summary包含每个基因组类型，若为特有基因，则标记所属样本。st_u进一步统计了每个样本包含的特有基因数目。</w:t>
      </w:r>
    </w:p>
    <w:p>
      <w:pPr>
        <w:widowControl w:val="0"/>
        <w:numPr>
          <w:ilvl w:val="0"/>
          <w:numId w:val="0"/>
        </w:numPr>
        <w:ind w:firstLine="0" w:firstLineChars="0"/>
        <w:jc w:val="left"/>
      </w:pPr>
      <w:r>
        <w:rPr>
          <w:rFonts w:hint="eastAsia"/>
          <w:lang w:val="en-US" w:eastAsia="zh-CN"/>
        </w:rPr>
        <w:t xml:space="preserve">df_summary: </w:t>
      </w:r>
      <w:r>
        <w:drawing>
          <wp:inline distT="0" distB="0" distL="114300" distR="114300">
            <wp:extent cx="1197610" cy="2073910"/>
            <wp:effectExtent l="0" t="0" r="6350" b="1397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207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table(df_summary$type):</w:t>
      </w:r>
      <w:r>
        <w:drawing>
          <wp:inline distT="0" distB="0" distL="114300" distR="114300">
            <wp:extent cx="4963795" cy="537845"/>
            <wp:effectExtent l="0" t="0" r="4445" b="1079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379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0" w:firstLineChars="0"/>
        <w:jc w:val="left"/>
      </w:pPr>
      <w:r>
        <w:rPr>
          <w:rFonts w:hint="eastAsia"/>
          <w:lang w:val="en-US" w:eastAsia="zh-CN"/>
        </w:rPr>
        <w:t xml:space="preserve">st_u: </w:t>
      </w:r>
      <w:r>
        <w:drawing>
          <wp:inline distT="0" distB="0" distL="114300" distR="114300">
            <wp:extent cx="1463040" cy="2225040"/>
            <wp:effectExtent l="0" t="0" r="0" b="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0" w:firstLineChars="0"/>
        <w:jc w:val="left"/>
      </w:pPr>
    </w:p>
    <w:p>
      <w:pPr>
        <w:widowControl w:val="0"/>
        <w:numPr>
          <w:ilvl w:val="0"/>
          <w:numId w:val="0"/>
        </w:numPr>
        <w:ind w:firstLine="0" w:firstLineChars="0"/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420" w:leftChars="0" w:hanging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饼图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饼图展示核心基因、附属基因、特有基因各自的数目和比例。我们使用ggpubr来绘制。话不多说，直接上代码！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library(ggpubr)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pdata1 &lt;- data.frame(group = factor(c('core','unique','accessory'), levels = c('core','unique','accessory')),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         freq = c(nrow(df_summary %&gt;% filter(type=='core')),sum(st_u$Freq), nrow(df_summary %&gt;% filter(type=='accessory'))))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piedata1 &lt;- pdata1%&gt;%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mutate(labs=paste0(freq,'\n(',100*round(freq/sum(freq),4),'%)'))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ggpie(piedata1, 'freq', #绘图，只用写频数就行，切记不用再写分组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fill = 'group', palette = 'jco',#颜色板为jco.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label = 'labs', lab.pos = 'in', lab.font = c(4, 'white'))+ #设置标签，标签的位置在图的内部，标签的大小为4， 颜色为白色. 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theme(legend.position = "top")+ labs(fill="")</w:t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ggsave('result/pie.png')</w:t>
      </w:r>
    </w:p>
    <w:p>
      <w:pPr>
        <w:widowControl w:val="0"/>
        <w:numPr>
          <w:ilvl w:val="0"/>
          <w:numId w:val="0"/>
        </w:numPr>
        <w:jc w:val="center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4608830" cy="3489960"/>
            <wp:effectExtent l="0" t="0" r="8890" b="0"/>
            <wp:docPr id="17" name="图片 17" descr="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pi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883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Style w:val="8"/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花瓣图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花瓣图包含了对核心基因和每个样本的特有基因的数目统计。我们基于plotrix包来完成。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首先先导入r包和绘图功能参数，并指定颜色。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需要注意的是，指定的颜色是8位字符的哦，比起6位字符颜色，最后两位表示其透明度。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Style w:val="8"/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此外，</w:t>
      </w:r>
      <w:r>
        <w:rPr>
          <w:rStyle w:val="8"/>
          <w:rFonts w:hint="eastAsia"/>
          <w:sz w:val="24"/>
          <w:szCs w:val="24"/>
          <w:lang w:val="en-US" w:eastAsia="zh-CN"/>
        </w:rPr>
        <w:t>flower_plot &lt;- function(){}部分，可能会有一点难懂，不过没关系，你只要把它复制粘贴运行就好啦，后面小花会教大家基础的调参哦。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Style w:val="8"/>
          <w:rFonts w:hint="default"/>
          <w:sz w:val="24"/>
          <w:szCs w:val="24"/>
          <w:lang w:val="en-US" w:eastAsia="zh-CN"/>
        </w:rPr>
      </w:pP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ellipse_col &lt;- c('#6181BD4E','#F348004E','#64A10E4E','#9300264E','#464E044E','#049a0b4E','#daa5204E','#1e90ff4e','#ba55d34E')# 椭圆的颜色设置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flower_plot &lt;- function(sample, otu_num, core_otu, start, a, b, r, ellipse_col, circle_col) {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par( bty = 'n', ann = F, xaxt = 'n', yaxt = 'n', mar = c(1,1,1,1))#start为椭圆的起始位置, a为椭圆的短轴, b为椭圆的长轴, r为中心圆的半径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plot(c(0,10),c(0,10),type='n')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n   &lt;- length(sample)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deg &lt;- 360 / n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res &lt;- lapply(1:n, function(t){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draw.ellipse(x = 5 + cos((start + deg * (t - 1)) * pi / 180), #绘制椭圆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     y = 5 + sin((start + deg * (t - 1)) * pi / 180), 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     col = ellipse_col[t],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     border = ellipse_col[t],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     a = a, b = b, angle = deg * (t - 1))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text(x = 5 + 2.5 * cos((start + deg * (t - 1)) * pi / 180),#在图上设置每个样品的otu_num数目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y = 5 + 2.5 * sin((start + deg * (t - 1)) * pi / 180),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otu_num[t])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if (deg * (t - 1) &lt; 180 &amp;&amp; deg * (t - 1) &gt; 0 ) {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text(x = 5 + 3.3 * cos((start + deg * (t - 1)) * pi / 180),#设置每个样品名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y = 5 + 3.3 * sin((start + deg * (t - 1)) * pi / 180),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sample[t],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srt = deg * (t - 1) - start,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adj = 1,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cex = 1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} else {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text(x = 5 + 3.3 * cos((start + deg * (t - 1)) * pi / 180),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y = 5 + 3.3 * sin((start + deg * (t - 1)) * pi / 180),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sample[t],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srt = deg * (t - 1) + start,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adj = 0,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cex = 1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}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})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draw.circle(x = 5, y = 5, r = r, col = circle_col, border = NA)#绘制中心圆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text(x = 5, y = 5, paste('Core:', core_otu))#设置中心圆名字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}  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</w:p>
    <w:p>
      <w:pPr>
        <w:bidi w:val="0"/>
        <w:ind w:left="0" w:leftChars="0" w:firstLine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bookmarkStart w:id="1" w:name="_GoBack"/>
      <w:bookmarkEnd w:id="1"/>
      <w:r>
        <w:rPr>
          <w:rStyle w:val="8"/>
          <w:rFonts w:hint="eastAsia"/>
          <w:sz w:val="24"/>
          <w:szCs w:val="24"/>
          <w:lang w:val="en-US" w:eastAsia="zh-CN"/>
        </w:rPr>
        <w:t>接下来就是绘图啦！sample指定各个花瓣的名称，otu_num指定特有基因数目，注意要和sample对应哦，core_otu指定核心基因的数目，然后可以根据花瓣个数调整下a，b，使椭圆大小美观即可，r表示花蕊半径，ellipse_col表示花瓣颜色，也就是我们开始指定的那个，circle_col表示花蕊颜色。</w:t>
      </w:r>
    </w:p>
    <w:p>
      <w:pPr>
        <w:bidi w:val="0"/>
        <w:ind w:left="0" w:leftChars="0" w:firstLine="0" w:firstLineChars="0"/>
        <w:jc w:val="center"/>
        <w:rPr>
          <w:rStyle w:val="8"/>
          <w:rFonts w:hint="default"/>
          <w:sz w:val="24"/>
          <w:szCs w:val="24"/>
          <w:lang w:val="en-US" w:eastAsia="zh-CN"/>
        </w:rPr>
      </w:pP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png('result/flower.png', w=500, h=500)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flower_plot(sample = st_u$strain, otu_num = st_u$Freq, core_otu =nrow(df_summary %&gt;% filter(type=='core')),</w:t>
      </w:r>
    </w:p>
    <w:p>
      <w:pPr>
        <w:bidi w:val="0"/>
        <w:ind w:left="0" w:leftChars="0" w:firstLine="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 xml:space="preserve">            start = 90, a = 0.7, b = 2, r = 0.8, ellipse_col = ellipse_col, circle_col = 'white')</w:t>
      </w:r>
    </w:p>
    <w:p>
      <w:pPr>
        <w:bidi w:val="0"/>
        <w:ind w:left="0" w:leftChars="0" w:firstLine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dev.off()</w:t>
      </w:r>
    </w:p>
    <w:p>
      <w:pPr>
        <w:bidi w:val="0"/>
        <w:ind w:left="0" w:leftChars="0" w:firstLine="42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762500" cy="4762500"/>
            <wp:effectExtent l="0" t="0" r="7620" b="7620"/>
            <wp:docPr id="16" name="图片 16" descr="fl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flower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ind w:left="420" w:leftChars="0" w:hanging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upset图</w:t>
      </w:r>
    </w:p>
    <w:p>
      <w:pPr>
        <w:numPr>
          <w:ilvl w:val="0"/>
          <w:numId w:val="0"/>
        </w:numPr>
        <w:bidi w:val="0"/>
        <w:ind w:leftChars="0" w:firstLine="420" w:firstLineChars="0"/>
        <w:jc w:val="left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当样本数少于5时，可以选择韦恩图表示，大于等于5时，建议使用upset图，我们需要加载upsetR包，具体使用方法小花有在《</w:t>
      </w:r>
      <w:r>
        <w:rPr>
          <w:rFonts w:hint="eastAsia"/>
          <w:lang w:val="en-US" w:eastAsia="zh-CN"/>
        </w:rPr>
        <w:t>韦恩图不够用？小花教你用upset图集合可视化</w:t>
      </w:r>
      <w:r>
        <w:rPr>
          <w:rStyle w:val="8"/>
          <w:rFonts w:hint="eastAsia"/>
          <w:sz w:val="24"/>
          <w:szCs w:val="24"/>
          <w:lang w:val="en-US" w:eastAsia="zh-CN"/>
        </w:rPr>
        <w:t>》一文中提到哦，这里就只简单看看效果啦。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t>library(UpSetR)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t>upsetdf &lt;- as.data.frame(lapply(df, as.numeric))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t>upsetdf [upsetdf != 0] &lt;- 1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t>upset(upsetdf, nset = 9,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t xml:space="preserve">      order.by = 'freq')</w:t>
      </w:r>
    </w:p>
    <w:p>
      <w:pPr>
        <w:numPr>
          <w:ilvl w:val="0"/>
          <w:numId w:val="0"/>
        </w:numPr>
        <w:bidi w:val="0"/>
        <w:ind w:leftChars="0" w:firstLine="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268595" cy="3001645"/>
            <wp:effectExtent l="0" t="0" r="4445" b="635"/>
            <wp:docPr id="18" name="图片 18" descr="up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upset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0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420" w:firstLineChars="0"/>
        <w:jc w:val="left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以上就是小花常用的关于orthofinder结果可视化的方法啦。饼图展示了核心基因、附属基因、特有基因的比例；花瓣图进一步展开表示了特有基因在各个样本中的分布；upset图将附属基因的样本分布也展开表示。</w:t>
      </w:r>
    </w:p>
    <w:p>
      <w:pPr>
        <w:bidi w:val="0"/>
        <w:ind w:left="0" w:leftChars="0" w:firstLine="420" w:firstLineChars="0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此外，还有其他绘图需求也欢迎范围我们的工具云生信平台在线分析http://www.biocloudservice.com/home.html。</w:t>
      </w:r>
    </w:p>
    <w:p>
      <w:pPr>
        <w:bidi w:val="0"/>
        <w:ind w:left="0" w:leftChars="0" w:firstLine="420" w:firstLineChars="0"/>
        <w:rPr>
          <w:rStyle w:val="8"/>
          <w:rFonts w:hint="default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今天的分享就到这里啦，大家还有什么好的关于orthofinder结果可视化的方法，欢迎来和小花讨论呀~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B1177A"/>
    <w:multiLevelType w:val="singleLevel"/>
    <w:tmpl w:val="95B1177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E3533A33"/>
    <w:multiLevelType w:val="singleLevel"/>
    <w:tmpl w:val="E3533A3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NDFhYjU5ZDJkMzk4MDJiZGQ5MTI2OTVlZDA4ZDUifQ=="/>
  </w:docVars>
  <w:rsids>
    <w:rsidRoot w:val="00000000"/>
    <w:rsid w:val="203B4EDF"/>
    <w:rsid w:val="28AE5C91"/>
    <w:rsid w:val="2C971EFC"/>
    <w:rsid w:val="3488303F"/>
    <w:rsid w:val="380F12B6"/>
    <w:rsid w:val="3BB443F8"/>
    <w:rsid w:val="42071E11"/>
    <w:rsid w:val="46227FA6"/>
    <w:rsid w:val="4DAA2BB3"/>
    <w:rsid w:val="57376165"/>
    <w:rsid w:val="59874D68"/>
    <w:rsid w:val="5D092372"/>
    <w:rsid w:val="6CF1514A"/>
    <w:rsid w:val="70700FAB"/>
    <w:rsid w:val="72FC75D6"/>
    <w:rsid w:val="75E43658"/>
    <w:rsid w:val="77AA14E8"/>
    <w:rsid w:val="7C45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ind w:firstLine="0" w:firstLineChars="0"/>
      <w:jc w:val="center"/>
      <w:outlineLvl w:val="0"/>
    </w:pPr>
    <w:rPr>
      <w:rFonts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413" w:lineRule="auto"/>
      <w:ind w:firstLine="0" w:firstLineChars="0"/>
      <w:outlineLvl w:val="1"/>
    </w:pPr>
    <w:rPr>
      <w:rFonts w:eastAsia="黑体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eastAsia="宋体"/>
      <w:sz w:val="28"/>
    </w:rPr>
  </w:style>
  <w:style w:type="character" w:default="1" w:styleId="8">
    <w:name w:val="Default Paragraph Font"/>
    <w:uiPriority w:val="0"/>
    <w:rPr>
      <w:rFonts w:ascii="Times New Roman" w:hAnsi="Times New Roman" w:eastAsia="宋体"/>
      <w:sz w:val="18"/>
    </w:rPr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1305</Words>
  <Characters>2617</Characters>
  <Lines>0</Lines>
  <Paragraphs>0</Paragraphs>
  <TotalTime>10</TotalTime>
  <ScaleCrop>false</ScaleCrop>
  <LinksUpToDate>false</LinksUpToDate>
  <CharactersWithSpaces>2991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2021-12-17T06:58:00Z</dcterms:created>
  <dc:creator>Lenovo</dc:creator>
  <cp:lastModifiedBy>prince   copper</cp:lastModifiedBy>
  <dcterms:modified xsi:type="dcterms:W3CDTF">2023-09-20T13:57:48Z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097B46F99AD847378D1D483635F99868</vt:lpwstr>
  </property>
</Properties>
</file>